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w:body>
    <w:p>
      <w:pPr>
        <w:pStyle w:val="Heading1"/>
      </w:pPr>
      <w:r>
        <w:t xml:space="preserve">Cahier des clauses techniques particulières — modèle</w:t>
      </w:r>
    </w:p>
    <w:p>
      <w:pPr>
        <w:pStyle w:val="Heading1"/>
      </w:pPr>
      <w:r>
        <w:t xml:space="preserve">Fourniture et installation d'une aire de fitness extérieur en accès libre</w:t>
      </w:r>
    </w:p>
    <w:p>
      <w:pPr>
        <w:spacing w:after="160"/>
        <w:ind w:left="170"/>
      </w:pPr>
      <w:r>
        <w:rPr>
          <w:i/>
          <w:color w:val="6B7280"/>
          <w:sz w:val="18"/>
        </w:rPr>
        <w:t xml:space="preserve">Modèle mis à disposition gratuitement par Light In Fitness, 6-8 rue Victor Laloux, 37000 Tours. Version du 2 août 2026. Document librement modifiable. Il ne se substitue pas à l'analyse juridique du service marchés de l'acheteur. Les passages surlignés sont à compléter par l'acheteur.</w:t>
      </w:r>
    </w:p>
    <w:p>
      <w:pPr>
        <w:pStyle w:val="Heading2"/>
      </w:pPr>
      <w:r>
        <w:t xml:space="preserve">Article 1 — Objet du marché</w:t>
      </w:r>
    </w:p>
    <w:p>
      <w:pPr>
        <w:spacing w:after="120"/>
        <w:jc w:val="both"/>
      </w:pPr>
      <w:r>
        <w:t xml:space="preserve">Le présent marché a pour objet la fourniture, la livraison, l'installation et la mise en service d'une aire de fitness extérieur en accès libre, ainsi que la remise de la documentation technique et réglementaire associée.</w:t>
      </w:r>
    </w:p>
    <w:p>
      <w:pPr>
        <w:spacing w:after="140"/>
      </w:pPr>
      <w:r>
        <w:rPr>
          <w:b/>
          <w:highlight w:val="yellow"/>
        </w:rPr>
        <w:t xml:space="preserve">À compléter : lieu d'implantation, surface, nombre de postes d'entraînement attendus, public visé.</w:t>
      </w:r>
    </w:p>
    <w:p>
      <w:pPr>
        <w:pStyle w:val="Heading2"/>
      </w:pPr>
      <w:r>
        <w:t xml:space="preserve">Article 2 — Documents de référence</w:t>
      </w:r>
    </w:p>
    <w:p>
      <w:pPr>
        <w:spacing w:after="120"/>
        <w:jc w:val="both"/>
      </w:pPr>
      <w:r>
        <w:t xml:space="preserve">Les prestations sont exécutées conformément aux textes et référentiels suivants, dans leur version en vigueur à la date de remise des offres :</w:t>
      </w:r>
    </w:p>
    <w:p>
      <w:pPr>
        <w:ind w:left="340"/>
        <w:spacing w:after="60"/>
      </w:pPr>
      <w:r>
        <w:t xml:space="preserve">• NF EN 16630 — Équipement de fitness installé en permanence en plein air. Exigences de sécurité et méthodes d'essai.</w:t>
      </w:r>
    </w:p>
    <w:p>
      <w:pPr>
        <w:ind w:left="340"/>
        <w:spacing w:after="60"/>
      </w:pPr>
      <w:r>
        <w:t xml:space="preserve">• NF EN 1176, série — Équipements et sols d'aires de jeux, si l'opération comporte un espace destiné aux enfants.</w:t>
      </w:r>
    </w:p>
    <w:p>
      <w:pPr>
        <w:ind w:left="340"/>
        <w:spacing w:after="60"/>
      </w:pPr>
      <w:r>
        <w:t xml:space="preserve">• NF EN 1177 — Revêtements de surface d'aires de jeux absorbant l'impact. Détermination de la hauteur de chute critique.</w:t>
      </w:r>
    </w:p>
    <w:p>
      <w:pPr>
        <w:ind w:left="340"/>
        <w:spacing w:after="60"/>
      </w:pPr>
      <w:r>
        <w:t xml:space="preserve">• NF EN 15312 — Équipements sportifs en accès libre, si l'opération comporte un plateau multisports.</w:t>
      </w:r>
    </w:p>
    <w:p>
      <w:pPr>
        <w:ind w:left="340"/>
        <w:spacing w:after="60"/>
      </w:pPr>
      <w:r>
        <w:t xml:space="preserve">• Article L221-1 du code de la consommation — obligation générale de sécurité.</w:t>
      </w:r>
    </w:p>
    <w:p>
      <w:pPr>
        <w:ind w:left="340"/>
        <w:spacing w:after="60"/>
      </w:pPr>
      <w:r>
        <w:t xml:space="preserve">• Décret n°94-699 du 10 août 1994 — exigences de sécurité relatives aux équipements d'aires collectives de jeux.</w:t>
      </w:r>
    </w:p>
    <w:p>
      <w:pPr>
        <w:ind w:left="340"/>
        <w:spacing w:after="60"/>
      </w:pPr>
      <w:r>
        <w:t xml:space="preserve">• Décret n°96-1136 du 18 décembre 1996 — prescriptions de sécurité relatives aux aires collectives de jeux, applicable uniquement si l'opération comporte des équipements destinés à des enfants de moins de 14 ans. Une aire de fitness destinée aux adultes n'entre pas dans son champ : l'obligation d'entretien y découle de l'obligation générale de sécurité et de la norme NF EN 16630.</w:t>
      </w:r>
    </w:p>
    <w:p>
      <w:pPr>
        <w:ind w:left="340"/>
        <w:spacing w:after="60"/>
      </w:pPr>
      <w:r>
        <w:t xml:space="preserve">• Article L312-2 du code du sport — déclaration en vue du recensement des équipements sportifs.</w:t>
      </w:r>
    </w:p>
    <w:p>
      <w:pPr>
        <w:pStyle w:val="Heading2"/>
      </w:pPr>
      <w:r>
        <w:t xml:space="preserve">Article 3 — Consistance des prestations</w:t>
      </w:r>
    </w:p>
    <w:p>
      <w:pPr>
        <w:spacing w:after="120"/>
        <w:jc w:val="both"/>
      </w:pPr>
      <w:r>
        <w:t xml:space="preserve">Le titulaire assure l'intégralité des prestations suivantes :</w:t>
      </w:r>
    </w:p>
    <w:p>
      <w:pPr>
        <w:ind w:left="340"/>
        <w:spacing w:after="60"/>
      </w:pPr>
      <w:r>
        <w:t xml:space="preserve">• Fourniture des équipements et de leurs accessoires de fixation.</w:t>
      </w:r>
    </w:p>
    <w:p>
      <w:pPr>
        <w:ind w:left="340"/>
        <w:spacing w:after="60"/>
      </w:pPr>
      <w:r>
        <w:t xml:space="preserve">• Transport, déchargement et manutention sur site.</w:t>
      </w:r>
    </w:p>
    <w:p>
      <w:pPr>
        <w:ind w:left="340"/>
        <w:spacing w:after="60"/>
      </w:pPr>
      <w:r>
        <w:t xml:space="preserve">• Terrassement, réalisation des massifs d'ancrage et scellement.</w:t>
      </w:r>
    </w:p>
    <w:p>
      <w:pPr>
        <w:ind w:left="340"/>
        <w:spacing w:after="60"/>
      </w:pPr>
      <w:r>
        <w:t xml:space="preserve">• Fourniture et pose du sol de réception.</w:t>
      </w:r>
    </w:p>
    <w:p>
      <w:pPr>
        <w:ind w:left="340"/>
        <w:spacing w:after="60"/>
      </w:pPr>
      <w:r>
        <w:t xml:space="preserve">• Fourniture et pose de la signalétique réglementaire.</w:t>
      </w:r>
    </w:p>
    <w:p>
      <w:pPr>
        <w:ind w:left="340"/>
        <w:spacing w:after="60"/>
      </w:pPr>
      <w:r>
        <w:t xml:space="preserve">• Mise en service, essais et levée des réserves.</w:t>
      </w:r>
    </w:p>
    <w:p>
      <w:pPr>
        <w:ind w:left="340"/>
        <w:spacing w:after="60"/>
      </w:pPr>
      <w:r>
        <w:t xml:space="preserve">• Formation du personnel chargé de l'entretien et de la surveillance.</w:t>
      </w:r>
    </w:p>
    <w:p>
      <w:pPr>
        <w:ind w:left="340"/>
        <w:spacing w:after="60"/>
      </w:pPr>
      <w:r>
        <w:t xml:space="preserve">• Remise des documents énumérés à l'article 12.</w:t>
      </w:r>
    </w:p>
    <w:p>
      <w:pPr>
        <w:ind w:left="340"/>
        <w:spacing w:after="60"/>
      </w:pPr>
      <w:r>
        <w:t xml:space="preserve">• Évacuation et reprise de l'ensemble des emballages et des déblais.</w:t>
      </w:r>
    </w:p>
    <w:p>
      <w:pPr>
        <w:pStyle w:val="Heading2"/>
      </w:pPr>
      <w:r>
        <w:t xml:space="preserve">Article 4 — Exigences normatives et preuve de conformité</w:t>
      </w:r>
    </w:p>
    <w:p>
      <w:pPr>
        <w:spacing w:after="120"/>
        <w:jc w:val="both"/>
      </w:pPr>
      <w:r>
        <w:t xml:space="preserve">Les équipements installés en accès libre et destinés à des utilisateurs d'une taille supérieure à 1400 millimètres sont conformes à la norme NF EN 16630.</w:t>
      </w:r>
    </w:p>
    <w:p>
      <w:pPr>
        <w:spacing w:after="120"/>
        <w:jc w:val="both"/>
      </w:pPr>
      <w:r>
        <w:t xml:space="preserve">La seule mention d'un numéro de norme est insuffisante. Le candidat produit impérativement, à l'appui de son offre, un rapport d'essai établi par un organisme tiers indépendant, mentionnant :</w:t>
      </w:r>
    </w:p>
    <w:p>
      <w:pPr>
        <w:ind w:left="340"/>
        <w:spacing w:after="60"/>
      </w:pPr>
      <w:r>
        <w:t xml:space="preserve">• l'édition de la norme appliquée ;</w:t>
      </w:r>
    </w:p>
    <w:p>
      <w:pPr>
        <w:ind w:left="340"/>
        <w:spacing w:after="60"/>
      </w:pPr>
      <w:r>
        <w:t xml:space="preserve">• la liste nominative des agrès couverts par le rapport, référence par référence ;</w:t>
      </w:r>
    </w:p>
    <w:p>
      <w:pPr>
        <w:ind w:left="340"/>
        <w:spacing w:after="60"/>
      </w:pPr>
      <w:r>
        <w:t xml:space="preserve">• l'identité et les coordonnées de l'organisme ayant procédé aux essais ;</w:t>
      </w:r>
    </w:p>
    <w:p>
      <w:pPr>
        <w:ind w:left="340"/>
        <w:spacing w:after="60"/>
      </w:pPr>
      <w:r>
        <w:t xml:space="preserve">• la date des essais et la durée de validité du rapport.</w:t>
      </w:r>
    </w:p>
    <w:p>
      <w:pPr>
        <w:spacing w:after="120"/>
        <w:jc w:val="both"/>
      </w:pPr>
      <w:r>
        <w:t xml:space="preserve">Une attestation établie par le fabricant lui-même n'est pas recevable au titre du présent article. Toute offre ne comportant pas ce rapport pour l'intégralité des agrès proposés est regardée comme non conforme.</w:t>
      </w:r>
    </w:p>
    <w:p>
      <w:pPr>
        <w:spacing w:after="160"/>
        <w:ind w:left="170"/>
      </w:pPr>
      <w:r>
        <w:rPr>
          <w:i/>
          <w:color w:val="6B7280"/>
          <w:sz w:val="18"/>
        </w:rPr>
        <w:t xml:space="preserve">Note à l'acheteur : c'est l'article qui écarte les offres non documentées. La mention de la liste nominative est essentielle, un rapport générique ne couvrant pas nécessairement les références proposées.</w:t>
      </w:r>
    </w:p>
    <w:p>
      <w:pPr>
        <w:pStyle w:val="Heading2"/>
      </w:pPr>
      <w:r>
        <w:t xml:space="preserve">Article 5 — Matériaux et protection contre la corrosion</w:t>
      </w:r>
    </w:p>
    <w:p>
      <w:pPr>
        <w:spacing w:after="120"/>
        <w:jc w:val="both"/>
      </w:pPr>
      <w:r>
        <w:t xml:space="preserve">Le candidat précise, pour chaque élément de structure : la nature du matériau, sa nuance, le procédé de protection contre la corrosion, l'épaisseur du revêtement obtenue et la finition de surface.</w:t>
      </w:r>
    </w:p>
    <w:p>
      <w:pPr>
        <w:spacing w:after="120"/>
        <w:jc w:val="both"/>
      </w:pPr>
      <w:r>
        <w:t xml:space="preserve">Compte tenu de l'exposition du site, le niveau de protection retenu est le suivant :</w:t>
      </w:r>
    </w:p>
    <w:p>
      <w:pPr>
        <w:spacing w:after="140"/>
      </w:pPr>
      <w:r>
        <w:rPr>
          <w:b/>
          <w:highlight w:val="yellow"/>
        </w:rPr>
        <w:t xml:space="preserve">À compléter : exposition du site (intérieur des terres, urbain, industriel, littoral, outre-mer, zone soumise aux sels de déverglaçage).</w:t>
      </w:r>
    </w:p>
    <w:p>
      <w:pPr>
        <w:spacing w:after="120"/>
        <w:jc w:val="both"/>
      </w:pPr>
      <w:r>
        <w:t xml:space="preserve">Le candidat indique la périodicité des opérations de reprise du revêtement qu'il préconise pour l'exposition considérée, ainsi que leur coût unitaire estimé. Ces éléments sont pris en compte au titre du coût global.</w:t>
      </w:r>
    </w:p>
    <w:p>
      <w:pPr>
        <w:pStyle w:val="Heading2"/>
      </w:pPr>
      <w:r>
        <w:t xml:space="preserve">Article 6 — Implantation, espace libre et espace de chute</w:t>
      </w:r>
    </w:p>
    <w:p>
      <w:pPr>
        <w:spacing w:after="120"/>
        <w:jc w:val="both"/>
      </w:pPr>
      <w:r>
        <w:t xml:space="preserve">Le candidat remet un plan d'implantation à l'échelle faisant apparaître, pour chaque agrès : son emprise au sol, son espace libre et son espace de chute, tels que définis par la norme applicable, ainsi que les recouvrements éventuels entre espaces.</w:t>
      </w:r>
    </w:p>
    <w:p>
      <w:pPr>
        <w:spacing w:after="120"/>
        <w:jc w:val="both"/>
      </w:pPr>
      <w:r>
        <w:t xml:space="preserve">Le plan fait également apparaître les cheminements d'accès, la zone de manœuvre destinée aux personnes à mobilité réduite et l'implantation de la signalétique.</w:t>
      </w:r>
    </w:p>
    <w:p>
      <w:pPr>
        <w:pStyle w:val="Heading2"/>
      </w:pPr>
      <w:r>
        <w:t xml:space="preserve">Article 7 — Sol de réception</w:t>
      </w:r>
    </w:p>
    <w:p>
      <w:pPr>
        <w:spacing w:after="120"/>
        <w:jc w:val="both"/>
      </w:pPr>
      <w:r>
        <w:t xml:space="preserve">Le sol de réception est dimensionné en fonction de la hauteur de chute libre de chaque équipement qu'il protège.</w:t>
      </w:r>
    </w:p>
    <w:p>
      <w:pPr>
        <w:spacing w:after="120"/>
        <w:jc w:val="both"/>
      </w:pPr>
      <w:r>
        <w:t xml:space="preserve">Le candidat produit un rapport d'essai indiquant la hauteur de chute critique mesurée selon la norme NF EN 1177, pour l'épaisseur effectivement proposée. La hauteur de chute critique mesurée est supérieure ou égale à la hauteur de chute libre de l'équipement protégé.</w:t>
      </w:r>
    </w:p>
    <w:p>
      <w:pPr>
        <w:spacing w:after="120"/>
        <w:jc w:val="both"/>
      </w:pPr>
      <w:r>
        <w:t xml:space="preserve">L'indication d'une épaisseur seule, sans hauteur de chute critique mesurée, n'est pas recevable.</w:t>
      </w:r>
    </w:p>
    <w:p>
      <w:pPr>
        <w:pStyle w:val="Heading2"/>
      </w:pPr>
      <w:r>
        <w:t xml:space="preserve">Article 8 — Ancrages et fondations</w:t>
      </w:r>
    </w:p>
    <w:p>
      <w:pPr>
        <w:spacing w:after="120"/>
        <w:jc w:val="both"/>
      </w:pPr>
      <w:r>
        <w:t xml:space="preserve">Le candidat remet une note de calcul des massifs d'ancrage établie pour la nature de sol rencontrée sur le site, précisant les dimensions des massifs, la nature du béton et le délai de séchage avant mise en service.</w:t>
      </w:r>
    </w:p>
    <w:p>
      <w:pPr>
        <w:spacing w:after="120"/>
        <w:jc w:val="both"/>
      </w:pPr>
      <w:r>
        <w:t xml:space="preserve">À la réception, le titulaire remet un procès-verbal de scellement pour chaque agrès installé.</w:t>
      </w:r>
    </w:p>
    <w:p>
      <w:pPr>
        <w:spacing w:after="140"/>
      </w:pPr>
      <w:r>
        <w:rPr>
          <w:b/>
          <w:highlight w:val="yellow"/>
        </w:rPr>
        <w:t xml:space="preserve">À compléter : nature du sol, résultats de l'étude de sol si elle existe, contraintes de réseaux enterrés.</w:t>
      </w:r>
    </w:p>
    <w:p>
      <w:pPr>
        <w:pStyle w:val="Heading2"/>
      </w:pPr>
      <w:r>
        <w:t xml:space="preserve">Article 9 — Signalétique et affichage réglementaire</w:t>
      </w:r>
    </w:p>
    <w:p>
      <w:pPr>
        <w:spacing w:after="120"/>
        <w:jc w:val="both"/>
      </w:pPr>
      <w:r>
        <w:t xml:space="preserve">Le titulaire fournit et pose une signalétique comportant au minimum :</w:t>
      </w:r>
    </w:p>
    <w:p>
      <w:pPr>
        <w:ind w:left="340"/>
        <w:spacing w:after="60"/>
      </w:pPr>
      <w:r>
        <w:t xml:space="preserve">• le nom ou la raison sociale et l'adresse de l'exploitant, de façon visible, lisible et indélébile, à chaque entrée de l'aire ;</w:t>
      </w:r>
    </w:p>
    <w:p>
      <w:pPr>
        <w:ind w:left="340"/>
        <w:spacing w:after="60"/>
      </w:pPr>
      <w:r>
        <w:t xml:space="preserve">• les tranches d'âge recommandées pour chaque équipement ;</w:t>
      </w:r>
    </w:p>
    <w:p>
      <w:pPr>
        <w:ind w:left="340"/>
        <w:spacing w:after="60"/>
      </w:pPr>
      <w:r>
        <w:t xml:space="preserve">• les avertissements relatifs aux risques liés à l'usage ;</w:t>
      </w:r>
    </w:p>
    <w:p>
      <w:pPr>
        <w:ind w:left="340"/>
        <w:spacing w:after="60"/>
      </w:pPr>
      <w:r>
        <w:t xml:space="preserve">• les consignes d'usage et le numéro d'appel en cas d'incident.</w:t>
      </w:r>
    </w:p>
    <w:p>
      <w:pPr>
        <w:pStyle w:val="Heading2"/>
      </w:pPr>
      <w:r>
        <w:t xml:space="preserve">Article 10 — Garanties</w:t>
      </w:r>
    </w:p>
    <w:p>
      <w:pPr>
        <w:spacing w:after="120"/>
        <w:jc w:val="both"/>
      </w:pPr>
      <w:r>
        <w:t xml:space="preserve">Le candidat indique, dans son offre, des durées de garantie distinctes pour :</w:t>
      </w:r>
    </w:p>
    <w:p>
      <w:pPr>
        <w:ind w:left="340"/>
        <w:spacing w:after="60"/>
      </w:pPr>
      <w:r>
        <w:t xml:space="preserve">• la structure porteuse ;</w:t>
      </w:r>
    </w:p>
    <w:p>
      <w:pPr>
        <w:ind w:left="340"/>
        <w:spacing w:after="60"/>
      </w:pPr>
      <w:r>
        <w:t xml:space="preserve">• les pièces d'usure, dont il fournit la liste ;</w:t>
      </w:r>
    </w:p>
    <w:p>
      <w:pPr>
        <w:ind w:left="340"/>
        <w:spacing w:after="60"/>
      </w:pPr>
      <w:r>
        <w:t xml:space="preserve">• les composants électroniques, le cas échéant ;</w:t>
      </w:r>
    </w:p>
    <w:p>
      <w:pPr>
        <w:ind w:left="340"/>
        <w:spacing w:after="60"/>
      </w:pPr>
      <w:r>
        <w:t xml:space="preserve">• le sol de réception.</w:t>
      </w:r>
    </w:p>
    <w:p>
      <w:pPr>
        <w:spacing w:after="120"/>
        <w:jc w:val="both"/>
      </w:pPr>
      <w:r>
        <w:t xml:space="preserve">Une garantie globale unique, ne distinguant pas ces postes, ne permet aucune comparaison entre offres et sera regardée comme une absence d'engagement sur la structure.</w:t>
      </w:r>
    </w:p>
    <w:p>
      <w:pPr>
        <w:spacing w:after="120"/>
        <w:jc w:val="both"/>
      </w:pPr>
      <w:r>
        <w:t xml:space="preserve">Les durées engagées sont contractuelles et sont reprises à l'acte d'engagement.</w:t>
      </w:r>
    </w:p>
    <w:p>
      <w:pPr>
        <w:spacing w:after="160"/>
        <w:ind w:left="170"/>
      </w:pPr>
      <w:r>
        <w:rPr>
          <w:i/>
          <w:color w:val="6B7280"/>
          <w:sz w:val="18"/>
        </w:rPr>
        <w:t xml:space="preserve">Note à l'acheteur : la durée de garantie de la structure peut constituer un critère d'attribution autonome. Certaines collectivités la pondèrent à 30 pour cent de la note globale. Voir la grille proposée en annexe.</w:t>
      </w:r>
    </w:p>
    <w:p>
      <w:pPr>
        <w:pStyle w:val="Heading2"/>
      </w:pPr>
      <w:r>
        <w:t xml:space="preserve">Article 11 — Pièces détachées</w:t>
      </w:r>
    </w:p>
    <w:p>
      <w:pPr>
        <w:spacing w:after="120"/>
        <w:jc w:val="both"/>
      </w:pPr>
      <w:r>
        <w:t xml:space="preserve">Le candidat s'engage sur une durée d'approvisionnement en pièces détachées courant à compter de la fin de commercialisation de chaque équipement, ainsi que sur un délai maximal d'expédition après commande.</w:t>
      </w:r>
    </w:p>
    <w:p>
      <w:pPr>
        <w:spacing w:after="120"/>
        <w:jc w:val="both"/>
      </w:pPr>
      <w:r>
        <w:t xml:space="preserve">Il remet à la réception la nomenclature illustrée des pièces de chaque équipement, avec les références permettant leur commande ultérieure.</w:t>
      </w:r>
    </w:p>
    <w:p>
      <w:pPr>
        <w:spacing w:after="120"/>
        <w:jc w:val="both"/>
      </w:pPr>
      <w:r>
        <w:t xml:space="preserve">Le titulaire informe l'acheteur, dans un délai d'un mois, de toute fin de commercialisation d'un équipement livré au titre du présent marché.</w:t>
      </w:r>
    </w:p>
    <w:p>
      <w:pPr>
        <w:pStyle w:val="Heading2"/>
      </w:pPr>
      <w:r>
        <w:t xml:space="preserve">Article 12 — Documents remis à la réception</w:t>
      </w:r>
    </w:p>
    <w:p>
      <w:pPr>
        <w:spacing w:after="120"/>
        <w:jc w:val="both"/>
      </w:pPr>
      <w:r>
        <w:t xml:space="preserve">Le titulaire remet, au plus tard à la réception, l'ensemble des pièces permettant à l'exploitant de constituer le dossier exigé par la réglementation :</w:t>
      </w:r>
    </w:p>
    <w:p>
      <w:pPr>
        <w:ind w:left="340"/>
        <w:spacing w:after="60"/>
      </w:pPr>
      <w:r>
        <w:t xml:space="preserve">• plan de situation et plan d'implantation des équipements ;</w:t>
      </w:r>
    </w:p>
    <w:p>
      <w:pPr>
        <w:ind w:left="340"/>
        <w:spacing w:after="60"/>
      </w:pPr>
      <w:r>
        <w:t xml:space="preserve">• notices d'emploi, de montage et d'entretien de chaque équipement ;</w:t>
      </w:r>
    </w:p>
    <w:p>
      <w:pPr>
        <w:ind w:left="340"/>
        <w:spacing w:after="60"/>
      </w:pPr>
      <w:r>
        <w:t xml:space="preserve">• justificatifs de conformité et rapports d'essai ;</w:t>
      </w:r>
    </w:p>
    <w:p>
      <w:pPr>
        <w:ind w:left="340"/>
        <w:spacing w:after="60"/>
      </w:pPr>
      <w:r>
        <w:t xml:space="preserve">• nom et adresse du ou des fournisseurs ;</w:t>
      </w:r>
    </w:p>
    <w:p>
      <w:pPr>
        <w:ind w:left="340"/>
        <w:spacing w:after="60"/>
      </w:pPr>
      <w:r>
        <w:t xml:space="preserve">• instructions de montage et procès-verbal de réception du site ;</w:t>
      </w:r>
    </w:p>
    <w:p>
      <w:pPr>
        <w:ind w:left="340"/>
        <w:spacing w:after="60"/>
      </w:pPr>
      <w:r>
        <w:t xml:space="preserve">• proposition de plan d'entretien et de plan de maintenance, précisant la nature et la périodicité des opérations ;</w:t>
      </w:r>
    </w:p>
    <w:p>
      <w:pPr>
        <w:ind w:left="340"/>
        <w:spacing w:after="60"/>
      </w:pPr>
      <w:r>
        <w:t xml:space="preserve">• modèle de registre permettant de consigner, pour chaque site, la date et le résultat des contrôles effectués.</w:t>
      </w:r>
    </w:p>
    <w:p>
      <w:pPr>
        <w:spacing w:after="120"/>
        <w:jc w:val="both"/>
      </w:pPr>
      <w:r>
        <w:t xml:space="preserve">La remise complète de ces documents conditionne la réception sans réserve.</w:t>
      </w:r>
    </w:p>
    <w:p>
      <w:pPr>
        <w:pStyle w:val="Heading2"/>
      </w:pPr>
      <w:r>
        <w:t xml:space="preserve">Article 13 — Maintenance et formation de l'exploitant</w:t>
      </w:r>
    </w:p>
    <w:p>
      <w:pPr>
        <w:spacing w:after="120"/>
        <w:jc w:val="both"/>
      </w:pPr>
      <w:r>
        <w:t xml:space="preserve">Le titulaire assure, à la mise en service, une session de formation du personnel chargé de la surveillance et de l'entretien, portant sur les points de contrôle, les défauts à rechercher, la tenue du registre et la procédure de mise hors service d'un équipement.</w:t>
      </w:r>
    </w:p>
    <w:p>
      <w:pPr>
        <w:spacing w:after="140"/>
      </w:pPr>
      <w:r>
        <w:rPr>
          <w:b/>
          <w:highlight w:val="yellow"/>
        </w:rPr>
        <w:t xml:space="preserve">À compléter : nombre d'agents à former, contrat de maintenance souhaité ou non, délai d'intervention exigé après signalement.</w:t>
      </w:r>
    </w:p>
    <w:p>
      <w:pPr>
        <w:pStyle w:val="Heading2"/>
      </w:pPr>
      <w:r>
        <w:t xml:space="preserve">Article 14 — Clause d'exécution environnementale</w:t>
      </w:r>
    </w:p>
    <w:p>
      <w:pPr>
        <w:spacing w:after="120"/>
        <w:jc w:val="both"/>
      </w:pPr>
      <w:r>
        <w:t xml:space="preserve">En application de l'article 35 de la loi n°2021-1104 du 22 août 2021, le présent marché comporte la condition d'exécution suivante :</w:t>
      </w:r>
    </w:p>
    <w:p>
      <w:pPr>
        <w:spacing w:after="120"/>
        <w:jc w:val="both"/>
      </w:pPr>
      <w:r>
        <w:t xml:space="preserve">Le titulaire reprend, à sa charge et sans coût supplémentaire pour l'acheteur, l'intégralité des emballages de transport à l'issue de la livraison. Il remet à l'acheteur, à la réception, la nomenclature des pièces détachées de chaque équipement livré ainsi que son engagement écrit de durée d'approvisionnement. Il informe l'acheteur, dans un délai d'un mois, de toute fin de commercialisation d'un équipement livré au titre du présent marché.</w:t>
      </w:r>
    </w:p>
    <w:p>
      <w:pPr>
        <w:pStyle w:val="Heading2"/>
      </w:pPr>
      <w:r>
        <w:t xml:space="preserve">Article 15 — Délais</w:t>
      </w:r>
    </w:p>
    <w:p>
      <w:pPr>
        <w:spacing w:after="140"/>
      </w:pPr>
      <w:r>
        <w:rPr>
          <w:b/>
          <w:highlight w:val="yellow"/>
        </w:rPr>
        <w:t xml:space="preserve">À compléter : délai de fabrication, délai de livraison, délai d'installation, date de mise à disposition du site, pénalités de retard.</w:t>
      </w:r>
    </w:p>
    <w:p>
      <w:pPr>
        <w:spacing w:after="160"/>
        <w:ind w:left="170"/>
      </w:pPr>
      <w:r>
        <w:rPr>
          <w:i/>
          <w:color w:val="6B7280"/>
          <w:sz w:val="18"/>
        </w:rPr>
        <w:t xml:space="preserve">Note à l'acheteur : lorsque l'opération est subventionnée, aucune signature de devis, de bon de commande ou d'acte d'engagement ne doit intervenir avant la réception de la demande de subvention par le service instructeur. Un commencement d'exécution antérieur entraîne le rejet de la demande.</w:t>
      </w:r>
    </w:p>
    <w:p>
      <w:pPr>
        <w:pStyle w:val="Heading1"/>
      </w:pPr>
      <w:r>
        <w:t xml:space="preserve">Annexe — Grille de notation proposée</w:t>
      </w:r>
    </w:p>
    <w:p>
      <w:pPr>
        <w:spacing w:after="120"/>
        <w:jc w:val="both"/>
      </w:pPr>
      <w:r>
        <w:t xml:space="preserve">Cette grille est proposée à titre d'exemple. Elle est à adapter au marché et à reprendre au règlement de la consultation.</w:t>
      </w:r>
    </w:p>
    <w:p>
      <w:pPr>
        <w:pStyle w:val="Heading2"/>
      </w:pPr>
      <w:r>
        <w:t xml:space="preserve">Valeur technique — 50 points</w:t>
      </w:r>
    </w:p>
    <w:p>
      <w:pPr>
        <w:ind w:left="340"/>
        <w:spacing w:after="60"/>
      </w:pPr>
      <w:r>
        <w:t xml:space="preserve">• Conformité normative documentée, rapport d'essai d'organisme tiers avec liste nominative : 15 points.</w:t>
      </w:r>
    </w:p>
    <w:p>
      <w:pPr>
        <w:ind w:left="340"/>
        <w:spacing w:after="60"/>
      </w:pPr>
      <w:r>
        <w:t xml:space="preserve">• Qualité du plan d'implantation, traitement des espaces libres et de chute : 10 points.</w:t>
      </w:r>
    </w:p>
    <w:p>
      <w:pPr>
        <w:ind w:left="340"/>
        <w:spacing w:after="60"/>
      </w:pPr>
      <w:r>
        <w:t xml:space="preserve">• Protection contre la corrosion adaptée à l'exposition du site : 10 points.</w:t>
      </w:r>
    </w:p>
    <w:p>
      <w:pPr>
        <w:ind w:left="340"/>
        <w:spacing w:after="60"/>
      </w:pPr>
      <w:r>
        <w:t xml:space="preserve">• Qualité de la documentation d'exploitation et de la formation proposée : 10 points.</w:t>
      </w:r>
    </w:p>
    <w:p>
      <w:pPr>
        <w:ind w:left="340"/>
        <w:spacing w:after="60"/>
      </w:pPr>
      <w:r>
        <w:t xml:space="preserve">• Délai d'intervention après signalement : 5 points.</w:t>
      </w:r>
    </w:p>
    <w:p>
      <w:pPr>
        <w:pStyle w:val="Heading2"/>
      </w:pPr>
      <w:r>
        <w:t xml:space="preserve">Durée de garantie de la structure — 20 points</w:t>
      </w:r>
    </w:p>
    <w:p>
      <w:pPr>
        <w:ind w:left="340"/>
        <w:spacing w:after="60"/>
      </w:pPr>
      <w:r>
        <w:t xml:space="preserve">• Note proportionnelle à la durée contractuellement engagée sur la structure porteuse, plafonnée à la meilleure offre reçue.</w:t>
      </w:r>
    </w:p>
    <w:p>
      <w:pPr>
        <w:pStyle w:val="Heading2"/>
      </w:pPr>
      <w:r>
        <w:t xml:space="preserve">Prix — 15 points</w:t>
      </w:r>
    </w:p>
    <w:p>
      <w:pPr>
        <w:ind w:left="340"/>
        <w:spacing w:after="60"/>
      </w:pPr>
      <w:r>
        <w:t xml:space="preserve">• Note calculée selon la formule retenue au règlement de la consultation.</w:t>
      </w:r>
    </w:p>
    <w:p>
      <w:pPr>
        <w:pStyle w:val="Heading2"/>
      </w:pPr>
      <w:r>
        <w:t xml:space="preserve">Performance environnementale — 15 points</w:t>
      </w:r>
    </w:p>
    <w:p>
      <w:pPr>
        <w:ind w:left="340"/>
        <w:spacing w:after="60"/>
      </w:pPr>
      <w:r>
        <w:t xml:space="preserve">• Durée d'approvisionnement des pièces détachées engagée par écrit : 6 points.</w:t>
      </w:r>
    </w:p>
    <w:p>
      <w:pPr>
        <w:ind w:left="340"/>
        <w:spacing w:after="60"/>
      </w:pPr>
      <w:r>
        <w:t xml:space="preserve">• Réparabilité sur site, au vu de la notice de maintenance et de la nomenclature : 4 points.</w:t>
      </w:r>
    </w:p>
    <w:p>
      <w:pPr>
        <w:ind w:left="340"/>
        <w:spacing w:after="60"/>
      </w:pPr>
      <w:r>
        <w:t xml:space="preserve">• Part de matière recyclée justifiée : 3 points.</w:t>
      </w:r>
    </w:p>
    <w:p>
      <w:pPr>
        <w:ind w:left="340"/>
        <w:spacing w:after="60"/>
      </w:pPr>
      <w:r>
        <w:t xml:space="preserve">• Engagement de reprise en fin de vie, chiffré et avec filière identifiée : 2 points.</w:t>
      </w:r>
    </w:p>
    <w:p>
      <w:pPr>
        <w:spacing w:after="160"/>
        <w:ind w:left="170"/>
      </w:pPr>
      <w:r>
        <w:rPr>
          <w:i/>
          <w:color w:val="6B7280"/>
          <w:sz w:val="18"/>
        </w:rPr>
        <w:t xml:space="preserve">Rappel : depuis le 22 août 2026, tout marché doit comporter au moins un critère d'attribution environnemental et une clause d'exécution environnementale, et le prix ne peut plus être le critère unique.</w:t>
      </w:r>
    </w:p>
    <w:p>
      <w:pPr>
        <w:pStyle w:val="Heading2"/>
      </w:pPr>
      <w:r>
        <w:t xml:space="preserve">Origine du document</w:t>
      </w:r>
    </w:p>
    <w:p>
      <w:pPr>
        <w:spacing w:after="120"/>
        <w:jc w:val="both"/>
      </w:pPr>
      <w:r>
        <w:t xml:space="preserve">Modèle établi et mis à disposition gratuitement par Light In Fitness, fabricant et distributeur d'équipement sportif professionnel, 6-8 rue Victor Laloux, 37000 Tours. SIRET 793 296 401 00029. contact@lightinfitness.com — lightinfitness.com</w:t>
      </w:r>
    </w:p>
    <w:p>
      <w:pPr>
        <w:spacing w:after="120"/>
        <w:jc w:val="both"/>
      </w:pPr>
      <w:r>
        <w:t xml:space="preserve">Ce modèle est neutre : il ne désigne aucune marque et n'impose aucun procédé propriétaire. Il peut être utilisé, modifié et diffusé librement.</w:t>
      </w:r>
    </w:p>
    <w:sectPr>
      <w:pgSz w:w="11906" w:h="16838"/>
      <w:pgMar w:top="1134" w:right="1134" w:bottom="1134" w:left="1134"/>
    </w:sectPr>
  </w:body>
</w:document>
</file>

<file path=word/styles.xml><?xml version="1.0" encoding="utf-8"?>
<w:styles xmlns:w="http://schemas.openxmlformats.org/wordprocessingml/2006/main">
  <w:docDefaults>
    <w:rPrDefault>
      <w:rPr>
        <w:rFonts w:ascii="Arial" w:hAnsi="Arial" w:cs="Arial"/>
        <w:sz w:val="20"/>
        <w:lang w:val="fr-FR"/>
      </w:rPr>
    </w:rPrDefault>
  </w:docDefaults>
  <w:style w:type="paragraph" w:default="1" w:styleId="Normal">
    <w:name w:val="Normal"/>
  </w:style>
  <w:style w:type="paragraph" w:styleId="Heading1">
    <w:name w:val="heading 1"/>
    <w:basedOn w:val="Normal"/>
    <w:pPr>
      <w:outlineLvl w:val="0"/>
      <w:spacing w:before="360" w:after="160"/>
    </w:pPr>
    <w:rPr>
      <w:b/>
      <w:sz w:val="30"/>
      <w:color w:val="070D1A"/>
    </w:rPr>
  </w:style>
  <w:style w:type="paragraph" w:styleId="Heading2">
    <w:name w:val="heading 2"/>
    <w:basedOn w:val="Normal"/>
    <w:pPr>
      <w:outlineLvl w:val="1"/>
      <w:spacing w:before="280" w:after="120"/>
    </w:pPr>
    <w:rPr>
      <w:b/>
      <w:sz w:val="24"/>
      <w:color w:val="070D1A"/>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core.xml><?xml version="1.0" encoding="utf-8"?>
<cp:coreProperties xmlns:cp="http://schemas.openxmlformats.org/package/2006/metadata/core-properties" xmlns:dc="http://purl.org/dc/elements/1.1/" xmlns:dcterms="http://purl.org/dc/terms/" xmlns:xsi="http://www.w3.org/2001/XMLSchema-instance">
  <dc:title>Modèle de CCTP — aire de fitness extérieur en accès libre</dc:title>
  <dc:creator>Light In Fitness</dc:creator>
  <cp:lastModifiedBy>Light In Fitness</cp:lastModifiedBy>
  <dcterms:created xsi:type="dcterms:W3CDTF">2026-08-02T19:32:06Z</dcterms:created>
</cp:coreProperties>
</file>